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b w:val="1"/>
          <w:bCs w:val="1"/>
          <w:sz w:val="20"/>
          <w:szCs w:val="20"/>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MING YANG SMART ENERGY GROUP LIMITED</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(GDR under the symbol: "MYSE")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9"/>
        </w:tabs>
        <w:spacing w:after="0" w:before="0" w:line="360" w:lineRule="auto"/>
        <w:ind w:left="720" w:right="720" w:firstLine="0"/>
        <w:jc w:val="center"/>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(a joint stock company established under the laws of the People’s Republic of China with limited liability)</w:t>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ind w:firstLine="422"/>
        <w:rPr>
          <w:b w:val="1"/>
          <w:bCs w:val="1"/>
        </w:rPr>
      </w:pPr>
      <w:r w:rsidDel="00000000" w:rsidR="00000000" w:rsidRPr="00000000">
        <w:rPr>
          <w:b w:val="1"/>
          <w:bCs w:val="1"/>
          <w:rtl w:val="0"/>
        </w:rPr>
        <w:t xml:space="preserve">Announcement on the Issuance of the Third Tranche of 2026 Green Sci-Tech Innovation Bonds</w:t>
      </w:r>
    </w:p>
    <w:p w:rsidR="00000000" w:rsidDel="00000000" w:rsidP="00000000" w:rsidRDefault="00000000" w:rsidRPr="00000000" w14:paraId="00000007">
      <w:pPr>
        <w:spacing w:line="276" w:lineRule="auto"/>
        <w:ind w:firstLine="442"/>
        <w:rPr>
          <w:b w:val="1"/>
          <w:bCs w:val="1"/>
          <w:color w:val="000000"/>
          <w:sz w:val="22"/>
          <w:szCs w:val="22"/>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44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msa614ufrgjx" w:id="0"/>
      <w:bookmarkEnd w:id="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Ming Yang Smart Energy Group Limited (hereinafter referred to as the "Company") held the 31st meeting of the third Board and the second extraordinary Shareholders' Meeting of 2026 on February 9, 2026 and March 2, 2026, respectively, at which the Proposal on the Proposed Issuance of Medium-Term Notes was deliberated and approved. The Company was approved to apply to the National Association of Financial Market Institutional Investors for the registration and issuance of medium-term notes with a total amount of no more than RMB 3 billion (inclusive).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44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April 17, 2026, the Company received the Notice of Acceptance of Registration (ZSXZ [2026] No. GN3) from the National Association of Financial Market Institutional Investors, and in the same month, successfully issued the First Tranche of 2026 Green Sci-Tech Innovation Bonds. For details, please refer to the Announcement on the Issuance of the First Tranche of 2026 Green Sci-Tech Innovation Bonds on April 27, 2026.</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44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July 13, 2026, the Company successfully issued the Second Tranche of 2026 Green Sci-Tech Innovation Bonds. For details, please refer to the Announcement on the Issuance of the Second Tranche of 2026 Green Sci-Tech Innovation Bonds on July 14, 2026.</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360" w:lineRule="auto"/>
        <w:ind w:left="0" w:right="0" w:firstLine="44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August 25, 2026, the Company successfully issued the Third Tranche of 2026 Green Sci-Tech Innovation Bonds. The proceeds from this issuance were fully received on August 26, 2026. The issuance results are hereby announced as follows:</w:t>
      </w:r>
    </w:p>
    <w:tbl>
      <w:tblPr>
        <w:tblStyle w:val="Table1"/>
        <w:tblW w:w="989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4"/>
        <w:gridCol w:w="2724"/>
        <w:gridCol w:w="1761"/>
        <w:gridCol w:w="3363"/>
        <w:tblGridChange w:id="0">
          <w:tblGrid>
            <w:gridCol w:w="2044"/>
            <w:gridCol w:w="2724"/>
            <w:gridCol w:w="1761"/>
            <w:gridCol w:w="3363"/>
          </w:tblGrid>
        </w:tblGridChange>
      </w:tblGrid>
      <w:tr>
        <w:trPr>
          <w:cantSplit w:val="0"/>
          <w:trHeight w:val="20" w:hRule="atLeast"/>
          <w:tblHeader w:val="0"/>
        </w:trPr>
        <w:tc>
          <w:tcPr>
            <w:vAlign w:val="center"/>
          </w:tcPr>
          <w:p w:rsidR="00000000" w:rsidDel="00000000" w:rsidP="00000000" w:rsidRDefault="00000000" w:rsidRPr="00000000" w14:paraId="0000000C">
            <w:pPr>
              <w:jc w:val="center"/>
              <w:rPr>
                <w:color w:val="000000"/>
                <w:sz w:val="22"/>
                <w:szCs w:val="22"/>
              </w:rPr>
            </w:pPr>
            <w:r w:rsidDel="00000000" w:rsidR="00000000" w:rsidRPr="00000000">
              <w:rPr>
                <w:color w:val="000000"/>
                <w:sz w:val="22"/>
                <w:szCs w:val="22"/>
                <w:rtl w:val="0"/>
              </w:rPr>
              <w:t xml:space="preserve">Name</w:t>
            </w:r>
          </w:p>
        </w:tc>
        <w:tc>
          <w:tcPr>
            <w:gridSpan w:val="3"/>
            <w:vAlign w:val="center"/>
          </w:tcPr>
          <w:p w:rsidR="00000000" w:rsidDel="00000000" w:rsidP="00000000" w:rsidRDefault="00000000" w:rsidRPr="00000000" w14:paraId="0000000D">
            <w:pPr>
              <w:jc w:val="center"/>
              <w:rPr>
                <w:color w:val="000000"/>
                <w:sz w:val="22"/>
                <w:szCs w:val="22"/>
              </w:rPr>
            </w:pPr>
            <w:r w:rsidDel="00000000" w:rsidR="00000000" w:rsidRPr="00000000">
              <w:rPr>
                <w:color w:val="000000"/>
                <w:sz w:val="22"/>
                <w:szCs w:val="22"/>
                <w:rtl w:val="0"/>
              </w:rPr>
              <w:t xml:space="preserve">The Third Tranche of 2026 Green Sci-Tech Innovation Bonds of Ming Yang Smart Energy Group Limited</w:t>
            </w:r>
          </w:p>
        </w:tc>
      </w:tr>
      <w:tr>
        <w:trPr>
          <w:cantSplit w:val="0"/>
          <w:trHeight w:val="20" w:hRule="atLeast"/>
          <w:tblHeader w:val="0"/>
        </w:trPr>
        <w:tc>
          <w:tcPr>
            <w:vAlign w:val="center"/>
          </w:tcPr>
          <w:p w:rsidR="00000000" w:rsidDel="00000000" w:rsidP="00000000" w:rsidRDefault="00000000" w:rsidRPr="00000000" w14:paraId="00000010">
            <w:pPr>
              <w:jc w:val="center"/>
              <w:rPr>
                <w:color w:val="000000"/>
                <w:sz w:val="22"/>
                <w:szCs w:val="22"/>
              </w:rPr>
            </w:pPr>
            <w:r w:rsidDel="00000000" w:rsidR="00000000" w:rsidRPr="00000000">
              <w:rPr>
                <w:color w:val="000000"/>
                <w:sz w:val="22"/>
                <w:szCs w:val="22"/>
                <w:rtl w:val="0"/>
              </w:rPr>
              <w:t xml:space="preserve">Abbreviation</w:t>
            </w:r>
          </w:p>
        </w:tc>
        <w:tc>
          <w:tcPr>
            <w:vAlign w:val="center"/>
          </w:tcPr>
          <w:p w:rsidR="00000000" w:rsidDel="00000000" w:rsidP="00000000" w:rsidRDefault="00000000" w:rsidRPr="00000000" w14:paraId="00000011">
            <w:pPr>
              <w:jc w:val="center"/>
              <w:rPr>
                <w:color w:val="000000"/>
                <w:sz w:val="22"/>
                <w:szCs w:val="22"/>
              </w:rPr>
            </w:pPr>
            <w:r w:rsidDel="00000000" w:rsidR="00000000" w:rsidRPr="00000000">
              <w:rPr>
                <w:color w:val="000000"/>
                <w:sz w:val="22"/>
                <w:szCs w:val="22"/>
                <w:rtl w:val="0"/>
              </w:rPr>
              <w:t xml:space="preserve">26 MYSE GN003 (Sci-Tech Innovation Bond)</w:t>
            </w:r>
          </w:p>
        </w:tc>
        <w:tc>
          <w:tcPr>
            <w:vAlign w:val="center"/>
          </w:tcPr>
          <w:p w:rsidR="00000000" w:rsidDel="00000000" w:rsidP="00000000" w:rsidRDefault="00000000" w:rsidRPr="00000000" w14:paraId="00000012">
            <w:pPr>
              <w:jc w:val="center"/>
              <w:rPr>
                <w:color w:val="000000"/>
                <w:sz w:val="22"/>
                <w:szCs w:val="22"/>
              </w:rPr>
            </w:pPr>
            <w:r w:rsidDel="00000000" w:rsidR="00000000" w:rsidRPr="00000000">
              <w:rPr>
                <w:color w:val="000000"/>
                <w:sz w:val="22"/>
                <w:szCs w:val="22"/>
                <w:rtl w:val="0"/>
              </w:rPr>
              <w:t xml:space="preserve">Code</w:t>
            </w:r>
          </w:p>
        </w:tc>
        <w:tc>
          <w:tcPr>
            <w:vAlign w:val="center"/>
          </w:tcPr>
          <w:p w:rsidR="00000000" w:rsidDel="00000000" w:rsidP="00000000" w:rsidRDefault="00000000" w:rsidRPr="00000000" w14:paraId="00000013">
            <w:pPr>
              <w:jc w:val="center"/>
              <w:rPr>
                <w:color w:val="000000"/>
                <w:sz w:val="22"/>
                <w:szCs w:val="22"/>
              </w:rPr>
            </w:pPr>
            <w:r w:rsidDel="00000000" w:rsidR="00000000" w:rsidRPr="00000000">
              <w:rPr>
                <w:color w:val="000000"/>
                <w:sz w:val="22"/>
                <w:szCs w:val="22"/>
                <w:rtl w:val="0"/>
              </w:rPr>
              <w:t xml:space="preserve">132680088</w:t>
            </w:r>
          </w:p>
        </w:tc>
      </w:tr>
      <w:tr>
        <w:trPr>
          <w:cantSplit w:val="0"/>
          <w:trHeight w:val="20" w:hRule="atLeast"/>
          <w:tblHeader w:val="0"/>
        </w:trPr>
        <w:tc>
          <w:tcPr>
            <w:vAlign w:val="center"/>
          </w:tcPr>
          <w:p w:rsidR="00000000" w:rsidDel="00000000" w:rsidP="00000000" w:rsidRDefault="00000000" w:rsidRPr="00000000" w14:paraId="00000014">
            <w:pPr>
              <w:jc w:val="center"/>
              <w:rPr>
                <w:color w:val="000000"/>
                <w:sz w:val="22"/>
                <w:szCs w:val="22"/>
              </w:rPr>
            </w:pPr>
            <w:r w:rsidDel="00000000" w:rsidR="00000000" w:rsidRPr="00000000">
              <w:rPr>
                <w:color w:val="000000"/>
                <w:sz w:val="22"/>
                <w:szCs w:val="22"/>
                <w:rtl w:val="0"/>
              </w:rPr>
              <w:t xml:space="preserve">Term</w:t>
            </w:r>
          </w:p>
        </w:tc>
        <w:tc>
          <w:tcPr>
            <w:vAlign w:val="center"/>
          </w:tcPr>
          <w:p w:rsidR="00000000" w:rsidDel="00000000" w:rsidP="00000000" w:rsidRDefault="00000000" w:rsidRPr="00000000" w14:paraId="00000015">
            <w:pPr>
              <w:jc w:val="center"/>
              <w:rPr>
                <w:color w:val="000000"/>
                <w:sz w:val="22"/>
                <w:szCs w:val="22"/>
              </w:rPr>
            </w:pPr>
            <w:r w:rsidDel="00000000" w:rsidR="00000000" w:rsidRPr="00000000">
              <w:rPr>
                <w:color w:val="000000"/>
                <w:sz w:val="22"/>
                <w:szCs w:val="22"/>
                <w:rtl w:val="0"/>
              </w:rPr>
              <w:t xml:space="preserve">3 years</w:t>
            </w:r>
          </w:p>
        </w:tc>
        <w:tc>
          <w:tcPr>
            <w:vAlign w:val="center"/>
          </w:tcPr>
          <w:p w:rsidR="00000000" w:rsidDel="00000000" w:rsidP="00000000" w:rsidRDefault="00000000" w:rsidRPr="00000000" w14:paraId="00000016">
            <w:pPr>
              <w:jc w:val="center"/>
              <w:rPr>
                <w:color w:val="000000"/>
                <w:sz w:val="22"/>
                <w:szCs w:val="22"/>
              </w:rPr>
            </w:pPr>
            <w:r w:rsidDel="00000000" w:rsidR="00000000" w:rsidRPr="00000000">
              <w:rPr>
                <w:color w:val="000000"/>
                <w:sz w:val="22"/>
                <w:szCs w:val="22"/>
                <w:rtl w:val="0"/>
              </w:rPr>
              <w:t xml:space="preserve">Value date</w:t>
            </w:r>
          </w:p>
        </w:tc>
        <w:tc>
          <w:tcPr>
            <w:vAlign w:val="center"/>
          </w:tcPr>
          <w:p w:rsidR="00000000" w:rsidDel="00000000" w:rsidP="00000000" w:rsidRDefault="00000000" w:rsidRPr="00000000" w14:paraId="00000017">
            <w:pPr>
              <w:jc w:val="center"/>
              <w:rPr>
                <w:color w:val="000000"/>
                <w:sz w:val="22"/>
                <w:szCs w:val="22"/>
              </w:rPr>
            </w:pPr>
            <w:r w:rsidDel="00000000" w:rsidR="00000000" w:rsidRPr="00000000">
              <w:rPr>
                <w:color w:val="000000"/>
                <w:sz w:val="22"/>
                <w:szCs w:val="22"/>
                <w:rtl w:val="0"/>
              </w:rPr>
              <w:t xml:space="preserve">August 26, 2026</w:t>
            </w:r>
          </w:p>
        </w:tc>
      </w:tr>
      <w:tr>
        <w:trPr>
          <w:cantSplit w:val="0"/>
          <w:trHeight w:val="20" w:hRule="atLeast"/>
          <w:tblHeader w:val="0"/>
        </w:trPr>
        <w:tc>
          <w:tcPr>
            <w:vAlign w:val="center"/>
          </w:tcPr>
          <w:p w:rsidR="00000000" w:rsidDel="00000000" w:rsidP="00000000" w:rsidRDefault="00000000" w:rsidRPr="00000000" w14:paraId="00000018">
            <w:pPr>
              <w:jc w:val="center"/>
              <w:rPr>
                <w:color w:val="000000"/>
                <w:sz w:val="22"/>
                <w:szCs w:val="22"/>
              </w:rPr>
            </w:pPr>
            <w:r w:rsidDel="00000000" w:rsidR="00000000" w:rsidRPr="00000000">
              <w:rPr>
                <w:color w:val="000000"/>
                <w:sz w:val="22"/>
                <w:szCs w:val="22"/>
                <w:rtl w:val="0"/>
              </w:rPr>
              <w:t xml:space="preserve">Planned total issuance amount</w:t>
            </w:r>
          </w:p>
        </w:tc>
        <w:tc>
          <w:tcPr>
            <w:vAlign w:val="center"/>
          </w:tcPr>
          <w:p w:rsidR="00000000" w:rsidDel="00000000" w:rsidP="00000000" w:rsidRDefault="00000000" w:rsidRPr="00000000" w14:paraId="00000019">
            <w:pPr>
              <w:jc w:val="center"/>
              <w:rPr>
                <w:color w:val="000000"/>
                <w:sz w:val="22"/>
                <w:szCs w:val="22"/>
              </w:rPr>
            </w:pPr>
            <w:r w:rsidDel="00000000" w:rsidR="00000000" w:rsidRPr="00000000">
              <w:rPr>
                <w:color w:val="000000"/>
                <w:sz w:val="22"/>
                <w:szCs w:val="22"/>
                <w:rtl w:val="0"/>
              </w:rPr>
              <w:t xml:space="preserve">RMB 500 million</w:t>
            </w:r>
          </w:p>
        </w:tc>
        <w:tc>
          <w:tcPr>
            <w:vAlign w:val="center"/>
          </w:tcPr>
          <w:p w:rsidR="00000000" w:rsidDel="00000000" w:rsidP="00000000" w:rsidRDefault="00000000" w:rsidRPr="00000000" w14:paraId="0000001A">
            <w:pPr>
              <w:jc w:val="center"/>
              <w:rPr>
                <w:color w:val="000000"/>
                <w:sz w:val="22"/>
                <w:szCs w:val="22"/>
              </w:rPr>
            </w:pPr>
            <w:r w:rsidDel="00000000" w:rsidR="00000000" w:rsidRPr="00000000">
              <w:rPr>
                <w:color w:val="000000"/>
                <w:sz w:val="22"/>
                <w:szCs w:val="22"/>
                <w:rtl w:val="0"/>
              </w:rPr>
              <w:t xml:space="preserve">Redemption date</w:t>
            </w:r>
          </w:p>
        </w:tc>
        <w:tc>
          <w:tcPr>
            <w:vAlign w:val="center"/>
          </w:tcPr>
          <w:p w:rsidR="00000000" w:rsidDel="00000000" w:rsidP="00000000" w:rsidRDefault="00000000" w:rsidRPr="00000000" w14:paraId="0000001B">
            <w:pPr>
              <w:jc w:val="center"/>
              <w:rPr>
                <w:color w:val="000000"/>
                <w:sz w:val="22"/>
                <w:szCs w:val="22"/>
              </w:rPr>
            </w:pPr>
            <w:r w:rsidDel="00000000" w:rsidR="00000000" w:rsidRPr="00000000">
              <w:rPr>
                <w:color w:val="000000"/>
                <w:sz w:val="22"/>
                <w:szCs w:val="22"/>
                <w:rtl w:val="0"/>
              </w:rPr>
              <w:t xml:space="preserve">August 27, 2029</w:t>
            </w:r>
          </w:p>
        </w:tc>
      </w:tr>
      <w:tr>
        <w:trPr>
          <w:cantSplit w:val="0"/>
          <w:trHeight w:val="20" w:hRule="atLeast"/>
          <w:tblHeader w:val="0"/>
        </w:trPr>
        <w:tc>
          <w:tcPr>
            <w:vAlign w:val="center"/>
          </w:tcPr>
          <w:p w:rsidR="00000000" w:rsidDel="00000000" w:rsidP="00000000" w:rsidRDefault="00000000" w:rsidRPr="00000000" w14:paraId="0000001C">
            <w:pPr>
              <w:jc w:val="center"/>
              <w:rPr>
                <w:color w:val="000000"/>
                <w:sz w:val="22"/>
                <w:szCs w:val="22"/>
              </w:rPr>
            </w:pPr>
            <w:r w:rsidDel="00000000" w:rsidR="00000000" w:rsidRPr="00000000">
              <w:rPr>
                <w:color w:val="000000"/>
                <w:sz w:val="22"/>
                <w:szCs w:val="22"/>
                <w:rtl w:val="0"/>
              </w:rPr>
              <w:t xml:space="preserve">Actual total issuance amount</w:t>
            </w:r>
          </w:p>
        </w:tc>
        <w:tc>
          <w:tcPr>
            <w:vAlign w:val="center"/>
          </w:tcPr>
          <w:p w:rsidR="00000000" w:rsidDel="00000000" w:rsidP="00000000" w:rsidRDefault="00000000" w:rsidRPr="00000000" w14:paraId="0000001D">
            <w:pPr>
              <w:jc w:val="center"/>
              <w:rPr>
                <w:color w:val="000000"/>
                <w:sz w:val="22"/>
                <w:szCs w:val="22"/>
              </w:rPr>
            </w:pPr>
            <w:r w:rsidDel="00000000" w:rsidR="00000000" w:rsidRPr="00000000">
              <w:rPr>
                <w:color w:val="000000"/>
                <w:sz w:val="22"/>
                <w:szCs w:val="22"/>
                <w:rtl w:val="0"/>
              </w:rPr>
              <w:t xml:space="preserve">RMB 500 million</w:t>
            </w:r>
          </w:p>
        </w:tc>
        <w:tc>
          <w:tcPr>
            <w:vAlign w:val="center"/>
          </w:tcPr>
          <w:p w:rsidR="00000000" w:rsidDel="00000000" w:rsidP="00000000" w:rsidRDefault="00000000" w:rsidRPr="00000000" w14:paraId="0000001E">
            <w:pPr>
              <w:jc w:val="center"/>
              <w:rPr>
                <w:color w:val="000000"/>
                <w:sz w:val="22"/>
                <w:szCs w:val="22"/>
              </w:rPr>
            </w:pPr>
            <w:r w:rsidDel="00000000" w:rsidR="00000000" w:rsidRPr="00000000">
              <w:rPr>
                <w:color w:val="000000"/>
                <w:sz w:val="22"/>
                <w:szCs w:val="22"/>
                <w:rtl w:val="0"/>
              </w:rPr>
              <w:t xml:space="preserve">Issuance price</w:t>
            </w:r>
          </w:p>
        </w:tc>
        <w:tc>
          <w:tcPr>
            <w:vAlign w:val="center"/>
          </w:tcPr>
          <w:p w:rsidR="00000000" w:rsidDel="00000000" w:rsidP="00000000" w:rsidRDefault="00000000" w:rsidRPr="00000000" w14:paraId="0000001F">
            <w:pPr>
              <w:jc w:val="center"/>
              <w:rPr>
                <w:color w:val="000000"/>
                <w:sz w:val="22"/>
                <w:szCs w:val="22"/>
              </w:rPr>
            </w:pPr>
            <w:r w:rsidDel="00000000" w:rsidR="00000000" w:rsidRPr="00000000">
              <w:rPr>
                <w:color w:val="000000"/>
                <w:sz w:val="22"/>
                <w:szCs w:val="22"/>
                <w:rtl w:val="0"/>
              </w:rPr>
              <w:t xml:space="preserve">RMB 100/face value of RMB 100</w:t>
            </w:r>
          </w:p>
        </w:tc>
      </w:tr>
      <w:tr>
        <w:trPr>
          <w:cantSplit w:val="0"/>
          <w:trHeight w:val="20" w:hRule="atLeast"/>
          <w:tblHeader w:val="0"/>
        </w:trPr>
        <w:tc>
          <w:tcPr>
            <w:vAlign w:val="center"/>
          </w:tcPr>
          <w:p w:rsidR="00000000" w:rsidDel="00000000" w:rsidP="00000000" w:rsidRDefault="00000000" w:rsidRPr="00000000" w14:paraId="00000020">
            <w:pPr>
              <w:jc w:val="center"/>
              <w:rPr>
                <w:color w:val="000000"/>
                <w:sz w:val="22"/>
                <w:szCs w:val="22"/>
              </w:rPr>
            </w:pPr>
            <w:r w:rsidDel="00000000" w:rsidR="00000000" w:rsidRPr="00000000">
              <w:rPr>
                <w:color w:val="000000"/>
                <w:sz w:val="22"/>
                <w:szCs w:val="22"/>
                <w:rtl w:val="0"/>
              </w:rPr>
              <w:t xml:space="preserve">Issuance rate</w:t>
            </w:r>
          </w:p>
        </w:tc>
        <w:tc>
          <w:tcPr>
            <w:vAlign w:val="center"/>
          </w:tcPr>
          <w:p w:rsidR="00000000" w:rsidDel="00000000" w:rsidP="00000000" w:rsidRDefault="00000000" w:rsidRPr="00000000" w14:paraId="00000021">
            <w:pPr>
              <w:jc w:val="center"/>
              <w:rPr>
                <w:color w:val="000000"/>
                <w:sz w:val="22"/>
                <w:szCs w:val="22"/>
              </w:rPr>
            </w:pPr>
            <w:r w:rsidDel="00000000" w:rsidR="00000000" w:rsidRPr="00000000">
              <w:rPr>
                <w:color w:val="000000"/>
                <w:sz w:val="22"/>
                <w:szCs w:val="22"/>
                <w:rtl w:val="0"/>
              </w:rPr>
              <w:t xml:space="preserve">1.85%</w:t>
            </w:r>
          </w:p>
        </w:tc>
        <w:tc>
          <w:tcPr>
            <w:vAlign w:val="center"/>
          </w:tcPr>
          <w:p w:rsidR="00000000" w:rsidDel="00000000" w:rsidP="00000000" w:rsidRDefault="00000000" w:rsidRPr="00000000" w14:paraId="00000022">
            <w:pPr>
              <w:jc w:val="center"/>
              <w:rPr>
                <w:color w:val="000000"/>
                <w:sz w:val="22"/>
                <w:szCs w:val="22"/>
              </w:rPr>
            </w:pPr>
            <w:r w:rsidDel="00000000" w:rsidR="00000000" w:rsidRPr="00000000">
              <w:rPr>
                <w:color w:val="000000"/>
                <w:sz w:val="22"/>
                <w:szCs w:val="22"/>
                <w:rtl w:val="0"/>
              </w:rPr>
              <w:t xml:space="preserve">Bookrunner</w:t>
            </w:r>
          </w:p>
        </w:tc>
        <w:tc>
          <w:tcPr>
            <w:vAlign w:val="center"/>
          </w:tcPr>
          <w:p w:rsidR="00000000" w:rsidDel="00000000" w:rsidP="00000000" w:rsidRDefault="00000000" w:rsidRPr="00000000" w14:paraId="00000023">
            <w:pPr>
              <w:jc w:val="center"/>
              <w:rPr>
                <w:color w:val="000000"/>
                <w:sz w:val="22"/>
                <w:szCs w:val="22"/>
              </w:rPr>
            </w:pPr>
            <w:r w:rsidDel="00000000" w:rsidR="00000000" w:rsidRPr="00000000">
              <w:rPr>
                <w:color w:val="000000"/>
                <w:sz w:val="22"/>
                <w:szCs w:val="22"/>
                <w:rtl w:val="0"/>
              </w:rPr>
              <w:t xml:space="preserve">China CITIC Bank Corporation Limited</w:t>
            </w:r>
          </w:p>
        </w:tc>
      </w:tr>
      <w:tr>
        <w:trPr>
          <w:cantSplit w:val="0"/>
          <w:trHeight w:val="20" w:hRule="atLeast"/>
          <w:tblHeader w:val="0"/>
        </w:trPr>
        <w:tc>
          <w:tcPr>
            <w:vAlign w:val="center"/>
          </w:tcPr>
          <w:p w:rsidR="00000000" w:rsidDel="00000000" w:rsidP="00000000" w:rsidRDefault="00000000" w:rsidRPr="00000000" w14:paraId="00000024">
            <w:pPr>
              <w:jc w:val="center"/>
              <w:rPr>
                <w:color w:val="000000"/>
                <w:sz w:val="22"/>
                <w:szCs w:val="22"/>
              </w:rPr>
            </w:pPr>
            <w:r w:rsidDel="00000000" w:rsidR="00000000" w:rsidRPr="00000000">
              <w:rPr>
                <w:color w:val="000000"/>
                <w:sz w:val="22"/>
                <w:szCs w:val="22"/>
                <w:rtl w:val="0"/>
              </w:rPr>
              <w:t xml:space="preserve">Lead underwriter</w:t>
            </w:r>
          </w:p>
        </w:tc>
        <w:tc>
          <w:tcPr>
            <w:gridSpan w:val="3"/>
            <w:vAlign w:val="center"/>
          </w:tcPr>
          <w:p w:rsidR="00000000" w:rsidDel="00000000" w:rsidP="00000000" w:rsidRDefault="00000000" w:rsidRPr="00000000" w14:paraId="00000025">
            <w:pPr>
              <w:jc w:val="center"/>
              <w:rPr>
                <w:color w:val="000000"/>
                <w:sz w:val="22"/>
                <w:szCs w:val="22"/>
              </w:rPr>
            </w:pPr>
            <w:r w:rsidDel="00000000" w:rsidR="00000000" w:rsidRPr="00000000">
              <w:rPr>
                <w:color w:val="000000"/>
                <w:sz w:val="22"/>
                <w:szCs w:val="22"/>
                <w:rtl w:val="0"/>
              </w:rPr>
              <w:t xml:space="preserve">China CITIC Bank Corporation Limited</w:t>
            </w:r>
          </w:p>
        </w:tc>
      </w:tr>
      <w:tr>
        <w:trPr>
          <w:cantSplit w:val="0"/>
          <w:trHeight w:val="20" w:hRule="atLeast"/>
          <w:tblHeader w:val="0"/>
        </w:trPr>
        <w:tc>
          <w:tcPr>
            <w:vAlign w:val="center"/>
          </w:tcPr>
          <w:p w:rsidR="00000000" w:rsidDel="00000000" w:rsidP="00000000" w:rsidRDefault="00000000" w:rsidRPr="00000000" w14:paraId="00000028">
            <w:pPr>
              <w:jc w:val="center"/>
              <w:rPr>
                <w:color w:val="000000"/>
                <w:sz w:val="22"/>
                <w:szCs w:val="22"/>
              </w:rPr>
            </w:pPr>
            <w:r w:rsidDel="00000000" w:rsidR="00000000" w:rsidRPr="00000000">
              <w:rPr>
                <w:color w:val="000000"/>
                <w:sz w:val="22"/>
                <w:szCs w:val="22"/>
                <w:rtl w:val="0"/>
              </w:rPr>
              <w:t xml:space="preserve">Joint underwriters</w:t>
            </w:r>
          </w:p>
        </w:tc>
        <w:tc>
          <w:tcPr>
            <w:gridSpan w:val="3"/>
            <w:vAlign w:val="center"/>
          </w:tcPr>
          <w:p w:rsidR="00000000" w:rsidDel="00000000" w:rsidP="00000000" w:rsidRDefault="00000000" w:rsidRPr="00000000" w14:paraId="00000029">
            <w:pPr>
              <w:jc w:val="center"/>
              <w:rPr>
                <w:color w:val="000000"/>
                <w:sz w:val="22"/>
                <w:szCs w:val="22"/>
              </w:rPr>
            </w:pPr>
            <w:r w:rsidDel="00000000" w:rsidR="00000000" w:rsidRPr="00000000">
              <w:rPr>
                <w:color w:val="000000"/>
                <w:sz w:val="22"/>
                <w:szCs w:val="22"/>
                <w:rtl w:val="0"/>
              </w:rPr>
              <w:t xml:space="preserve">Postal Savings Bank of China Co., Ltd., China Resources Bank of Guangdong Co., Ltd.</w:t>
            </w:r>
          </w:p>
        </w:tc>
      </w:tr>
    </w:tbl>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60" w:lineRule="auto"/>
        <w:ind w:left="0" w:right="0" w:firstLine="44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details of the relevant documents of this issuance, please refer to the announcements on the websites of ChinaMoney (www.chinamoney.com.cn) and Shanghai Clearing House (www.shclearing.com.cn).</w:t>
      </w:r>
    </w:p>
    <w:p w:rsidR="00000000" w:rsidDel="00000000" w:rsidP="00000000" w:rsidRDefault="00000000" w:rsidRPr="00000000" w14:paraId="0000002D">
      <w:pPr>
        <w:widowControl w:val="1"/>
        <w:spacing w:line="276" w:lineRule="auto"/>
        <w:ind w:firstLine="440"/>
        <w:rPr>
          <w:color w:val="000000"/>
          <w:sz w:val="22"/>
          <w:szCs w:val="22"/>
        </w:rPr>
      </w:pPr>
      <w:r w:rsidDel="00000000" w:rsidR="00000000" w:rsidRPr="00000000">
        <w:rPr>
          <w:rtl w:val="0"/>
        </w:rPr>
      </w:r>
    </w:p>
    <w:p w:rsidR="00000000" w:rsidDel="00000000" w:rsidP="00000000" w:rsidRDefault="00000000" w:rsidRPr="00000000" w14:paraId="0000002E">
      <w:pPr>
        <w:widowControl w:val="1"/>
        <w:spacing w:line="276" w:lineRule="auto"/>
        <w:ind w:firstLine="440"/>
        <w:rPr>
          <w:color w:val="000000"/>
          <w:sz w:val="22"/>
          <w:szCs w:val="22"/>
        </w:rPr>
      </w:pPr>
      <w:r w:rsidDel="00000000" w:rsidR="00000000" w:rsidRPr="00000000">
        <w:rPr>
          <w:rtl w:val="0"/>
        </w:rPr>
      </w:r>
    </w:p>
    <w:p w:rsidR="00000000" w:rsidDel="00000000" w:rsidP="00000000" w:rsidRDefault="00000000" w:rsidRPr="00000000" w14:paraId="0000002F">
      <w:pPr>
        <w:widowControl w:val="1"/>
        <w:spacing w:line="276" w:lineRule="auto"/>
        <w:ind w:firstLine="600"/>
        <w:jc w:val="right"/>
        <w:rPr>
          <w:sz w:val="22"/>
          <w:szCs w:val="22"/>
        </w:rPr>
      </w:pPr>
      <w:r w:rsidDel="00000000" w:rsidR="00000000" w:rsidRPr="00000000">
        <w:rPr>
          <w:rtl w:val="0"/>
        </w:rPr>
      </w:r>
    </w:p>
    <w:p w:rsidR="00000000" w:rsidDel="00000000" w:rsidP="00000000" w:rsidRDefault="00000000" w:rsidRPr="00000000" w14:paraId="00000030">
      <w:pPr>
        <w:widowControl w:val="1"/>
        <w:spacing w:line="276" w:lineRule="auto"/>
        <w:ind w:firstLine="601"/>
        <w:jc w:val="right"/>
        <w:rPr>
          <w:sz w:val="22"/>
          <w:szCs w:val="22"/>
        </w:rPr>
      </w:pPr>
      <w:r w:rsidDel="00000000" w:rsidR="00000000" w:rsidRPr="00000000">
        <w:rPr>
          <w:color w:val="000000"/>
          <w:sz w:val="22"/>
          <w:szCs w:val="22"/>
          <w:rtl w:val="0"/>
        </w:rPr>
        <w:t xml:space="preserve">Ming Yang Smart Energy Group Limited</w:t>
      </w:r>
      <w:r w:rsidDel="00000000" w:rsidR="00000000" w:rsidRPr="00000000">
        <w:rPr>
          <w:rtl w:val="0"/>
        </w:rPr>
      </w:r>
    </w:p>
    <w:p w:rsidR="00000000" w:rsidDel="00000000" w:rsidP="00000000" w:rsidRDefault="00000000" w:rsidRPr="00000000" w14:paraId="00000031">
      <w:pPr>
        <w:widowControl w:val="1"/>
        <w:spacing w:line="276" w:lineRule="auto"/>
        <w:ind w:right="240" w:firstLine="600"/>
        <w:jc w:val="right"/>
        <w:rPr>
          <w:sz w:val="22"/>
          <w:szCs w:val="22"/>
        </w:rPr>
      </w:pPr>
      <w:r w:rsidDel="00000000" w:rsidR="00000000" w:rsidRPr="00000000">
        <w:rPr>
          <w:color w:val="000000"/>
          <w:sz w:val="22"/>
          <w:szCs w:val="22"/>
          <w:rtl w:val="0"/>
        </w:rPr>
        <w:t xml:space="preserve">August 26, 2026</w:t>
      </w:r>
      <w:r w:rsidDel="00000000" w:rsidR="00000000" w:rsidRPr="00000000">
        <w:rPr>
          <w:rtl w:val="0"/>
        </w:rPr>
      </w:r>
    </w:p>
    <w:sectPr>
      <w:footerReference r:id="rId7" w:type="default"/>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42299B"/>
    <w:pPr>
      <w:pBdr>
        <w:bottom w:color="auto" w:space="1" w:sz="6" w:val="single"/>
      </w:pBdr>
      <w:tabs>
        <w:tab w:val="center" w:pos="4153"/>
        <w:tab w:val="right" w:pos="8306"/>
      </w:tabs>
      <w:snapToGrid w:val="0"/>
      <w:jc w:val="center"/>
    </w:pPr>
    <w:rPr>
      <w:rFonts w:asciiTheme="minorHAnsi" w:cstheme="minorBidi" w:eastAsiaTheme="minorEastAsia" w:hAnsiTheme="minorHAnsi"/>
      <w:sz w:val="18"/>
      <w:szCs w:val="18"/>
    </w:rPr>
  </w:style>
  <w:style w:type="character" w:styleId="a4" w:customStyle="1">
    <w:name w:val="页眉 字符"/>
    <w:basedOn w:val="a0"/>
    <w:link w:val="a3"/>
    <w:uiPriority w:val="99"/>
    <w:rsid w:val="0042299B"/>
    <w:rPr>
      <w:sz w:val="18"/>
      <w:szCs w:val="18"/>
    </w:rPr>
  </w:style>
  <w:style w:type="paragraph" w:styleId="a5">
    <w:name w:val="footer"/>
    <w:basedOn w:val="a"/>
    <w:link w:val="a6"/>
    <w:uiPriority w:val="99"/>
    <w:unhideWhenUsed w:val="1"/>
    <w:rsid w:val="0042299B"/>
    <w:pPr>
      <w:tabs>
        <w:tab w:val="center" w:pos="4153"/>
        <w:tab w:val="right" w:pos="8306"/>
      </w:tabs>
      <w:snapToGrid w:val="0"/>
      <w:jc w:val="left"/>
    </w:pPr>
    <w:rPr>
      <w:rFonts w:asciiTheme="minorHAnsi" w:cstheme="minorBidi" w:eastAsiaTheme="minorEastAsia" w:hAnsiTheme="minorHAnsi"/>
      <w:sz w:val="18"/>
      <w:szCs w:val="18"/>
    </w:rPr>
  </w:style>
  <w:style w:type="character" w:styleId="a6" w:customStyle="1">
    <w:name w:val="页脚 字符"/>
    <w:basedOn w:val="a0"/>
    <w:link w:val="a5"/>
    <w:uiPriority w:val="99"/>
    <w:rsid w:val="0042299B"/>
    <w:rPr>
      <w:sz w:val="18"/>
      <w:szCs w:val="18"/>
    </w:rPr>
  </w:style>
  <w:style w:type="table" w:styleId="a7">
    <w:name w:val="Table Grid"/>
    <w:basedOn w:val="a1"/>
    <w:uiPriority w:val="59"/>
    <w:qFormat w:val="1"/>
    <w:rsid w:val="0042299B"/>
    <w:pPr>
      <w:widowControl w:val="0"/>
      <w:jc w:val="both"/>
    </w:pPr>
    <w:rPr>
      <w:rFonts w:ascii="Times New Roman" w:cs="Times New Roman" w:eastAsia="宋体" w:hAnsi="Times New Roman"/>
      <w:kern w:val="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List Paragraph"/>
    <w:basedOn w:val="a"/>
    <w:uiPriority w:val="34"/>
    <w:qFormat w:val="1"/>
    <w:rsid w:val="00BA65D0"/>
    <w:pPr>
      <w:ind w:firstLine="420" w:firstLineChars="200"/>
    </w:pPr>
  </w:style>
  <w:style w:type="paragraph" w:styleId="a9">
    <w:name w:val="Revision"/>
    <w:hidden w:val="1"/>
    <w:uiPriority w:val="99"/>
    <w:semiHidden w:val="1"/>
    <w:rsid w:val="009864D3"/>
    <w:rPr>
      <w:rFonts w:ascii="Times New Roman" w:cs="Times New Roman" w:eastAsia="宋体" w:hAnsi="Times New Roman"/>
      <w:szCs w:val="24"/>
    </w:rPr>
  </w:style>
  <w:style w:type="character" w:styleId="aa">
    <w:name w:val="annotation reference"/>
    <w:basedOn w:val="a0"/>
    <w:uiPriority w:val="99"/>
    <w:semiHidden w:val="1"/>
    <w:unhideWhenUsed w:val="1"/>
    <w:rsid w:val="002A2EBD"/>
    <w:rPr>
      <w:sz w:val="21"/>
      <w:szCs w:val="21"/>
    </w:rPr>
  </w:style>
  <w:style w:type="paragraph" w:styleId="ab">
    <w:name w:val="annotation text"/>
    <w:basedOn w:val="a"/>
    <w:link w:val="ac"/>
    <w:uiPriority w:val="99"/>
    <w:semiHidden w:val="1"/>
    <w:unhideWhenUsed w:val="1"/>
    <w:rsid w:val="002A2EBD"/>
    <w:pPr>
      <w:jc w:val="left"/>
    </w:pPr>
  </w:style>
  <w:style w:type="character" w:styleId="ac" w:customStyle="1">
    <w:name w:val="批注文字 字符"/>
    <w:basedOn w:val="a0"/>
    <w:link w:val="ab"/>
    <w:uiPriority w:val="99"/>
    <w:semiHidden w:val="1"/>
    <w:rsid w:val="002A2EBD"/>
    <w:rPr>
      <w:rFonts w:ascii="Times New Roman" w:cs="Times New Roman" w:eastAsia="宋体" w:hAnsi="Times New Roman"/>
      <w:szCs w:val="24"/>
    </w:rPr>
  </w:style>
  <w:style w:type="paragraph" w:styleId="ad">
    <w:name w:val="annotation subject"/>
    <w:basedOn w:val="ab"/>
    <w:next w:val="ab"/>
    <w:link w:val="ae"/>
    <w:uiPriority w:val="99"/>
    <w:semiHidden w:val="1"/>
    <w:unhideWhenUsed w:val="1"/>
    <w:rsid w:val="002A2EBD"/>
    <w:rPr>
      <w:b w:val="1"/>
      <w:bCs w:val="1"/>
    </w:rPr>
  </w:style>
  <w:style w:type="character" w:styleId="ae" w:customStyle="1">
    <w:name w:val="批注主题 字符"/>
    <w:basedOn w:val="ac"/>
    <w:link w:val="ad"/>
    <w:uiPriority w:val="99"/>
    <w:semiHidden w:val="1"/>
    <w:rsid w:val="002A2EBD"/>
    <w:rPr>
      <w:rFonts w:ascii="Times New Roman" w:cs="Times New Roman" w:eastAsia="宋体" w:hAnsi="Times New Roman"/>
      <w:b w:val="1"/>
      <w:bCs w:val="1"/>
      <w:szCs w:val="24"/>
    </w:rPr>
  </w:style>
  <w:style w:type="paragraph" w:styleId="ZBodytext" w:customStyle="1">
    <w:name w:val="Z Body text"/>
    <w:basedOn w:val="a"/>
    <w:uiPriority w:val="1"/>
    <w:rsid w:val="00E87505"/>
    <w:pPr>
      <w:tabs>
        <w:tab w:val="left" w:pos="989"/>
      </w:tabs>
      <w:autoSpaceDE w:val="0"/>
      <w:autoSpaceDN w:val="0"/>
      <w:spacing w:after="100" w:before="100" w:line="288" w:lineRule="auto"/>
      <w:ind w:left="720" w:right="720"/>
    </w:pPr>
    <w:rPr>
      <w:rFonts w:eastAsia="Times New Roman"/>
      <w:kern w:val="0"/>
      <w:sz w:val="20"/>
      <w:szCs w:val="22"/>
      <w:lang w:eastAsia="en-US"/>
    </w:rPr>
  </w:style>
  <w:style w:type="paragraph" w:styleId="Default" w:customStyle="1">
    <w:name w:val="Default"/>
    <w:qFormat w:val="1"/>
    <w:rsid w:val="009402FA"/>
    <w:pPr>
      <w:widowControl w:val="0"/>
      <w:autoSpaceDE w:val="0"/>
      <w:autoSpaceDN w:val="0"/>
      <w:adjustRightInd w:val="0"/>
    </w:pPr>
    <w:rPr>
      <w:rFonts w:ascii="宋体" w:cs="宋体" w:eastAsia="宋体" w:hAnsi="Times New Roman"/>
      <w:color w:val="000000"/>
      <w:kern w:val="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lnfGKNhXfQXoqyuQaHvOxptY2Q==">CgMxLjAyDmgubXNhNjE0dWZyZ2p4OAByITE5MXRLWHk1Qk5BV04wLUdQNE94b2hkdWVTOXZNcGNCdw==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2025-12-11T06:45:00Z</dcterms:created>
  <dc:creator>郑洁珊</dc:creator>
</cp:coreProperties>
</file>