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89"/>
        </w:tabs>
        <w:spacing w:after="0" w:before="0" w:line="360" w:lineRule="auto"/>
        <w:ind w:left="720" w:right="720" w:firstLine="0"/>
        <w:jc w:val="center"/>
        <w:rPr>
          <w:b w:val="1"/>
          <w:bCs w:val="1"/>
          <w:sz w:val="20"/>
          <w:szCs w:val="20"/>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89"/>
        </w:tabs>
        <w:spacing w:after="0" w:before="0" w:line="360" w:lineRule="auto"/>
        <w:ind w:left="720" w:right="72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MING YANG SMART ENERGY GROUP LIMITED</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89"/>
        </w:tabs>
        <w:spacing w:after="0" w:before="0" w:line="360" w:lineRule="auto"/>
        <w:ind w:left="720" w:right="72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(GDR under the symbol: "MYSE")</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89"/>
        </w:tabs>
        <w:spacing w:after="0" w:before="0" w:line="360" w:lineRule="auto"/>
        <w:ind w:left="720" w:right="720" w:firstLine="0"/>
        <w:jc w:val="center"/>
        <w:rPr>
          <w:rFonts w:ascii="Times New Roman" w:cs="Times New Roman" w:eastAsia="Times New Roman" w:hAnsi="Times New Roman"/>
          <w:b w:val="0"/>
          <w:bCs w:val="0"/>
          <w:i w:val="1"/>
          <w:iCs w:val="1"/>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6"/>
          <w:szCs w:val="16"/>
          <w:u w:val="none"/>
          <w:shd w:fill="auto" w:val="clear"/>
          <w:vertAlign w:val="baseline"/>
          <w:rtl w:val="0"/>
        </w:rPr>
        <w:t xml:space="preserve">(a joint stock company established under the laws of the People’s Republic of China with limited liability)</w:t>
      </w:r>
    </w:p>
    <w:p w:rsidR="00000000" w:rsidDel="00000000" w:rsidP="00000000" w:rsidRDefault="00000000" w:rsidRPr="00000000" w14:paraId="00000005">
      <w:pPr>
        <w:spacing w:line="276" w:lineRule="auto"/>
        <w:rPr/>
      </w:pPr>
      <w:r w:rsidDel="00000000" w:rsidR="00000000" w:rsidRPr="00000000">
        <w:rPr>
          <w:rtl w:val="0"/>
        </w:rPr>
      </w:r>
    </w:p>
    <w:p w:rsidR="00000000" w:rsidDel="00000000" w:rsidP="00000000" w:rsidRDefault="00000000" w:rsidRPr="00000000" w14:paraId="00000006">
      <w:pPr>
        <w:spacing w:line="276" w:lineRule="auto"/>
        <w:rPr>
          <w:b w:val="1"/>
          <w:bCs w:val="1"/>
        </w:rPr>
      </w:pPr>
      <w:r w:rsidDel="00000000" w:rsidR="00000000" w:rsidRPr="00000000">
        <w:rPr>
          <w:b w:val="1"/>
          <w:bCs w:val="1"/>
          <w:rtl w:val="0"/>
        </w:rPr>
        <w:t xml:space="preserve">Announcement on Progress of Matter in Respect of the Issuance of Shares and Cash Payment for Asset Acquisition, Raising of Supporting Funds and Related-Party Transactions</w:t>
      </w:r>
    </w:p>
    <w:p w:rsidR="00000000" w:rsidDel="00000000" w:rsidP="00000000" w:rsidRDefault="00000000" w:rsidRPr="00000000" w14:paraId="00000007">
      <w:pPr>
        <w:spacing w:line="276" w:lineRule="auto"/>
        <w:ind w:firstLine="442"/>
        <w:rPr>
          <w:b w:val="1"/>
          <w:bCs w:val="1"/>
          <w:color w:val="000000"/>
          <w:sz w:val="22"/>
          <w:szCs w:val="22"/>
        </w:rPr>
      </w:pPr>
      <w:r w:rsidDel="00000000" w:rsidR="00000000" w:rsidRPr="00000000">
        <w:rPr>
          <w:rtl w:val="0"/>
        </w:rPr>
      </w:r>
    </w:p>
    <w:p w:rsidR="00000000" w:rsidDel="00000000" w:rsidP="00000000" w:rsidRDefault="00000000" w:rsidRPr="00000000" w14:paraId="00000008">
      <w:pPr>
        <w:spacing w:line="276" w:lineRule="auto"/>
        <w:ind w:firstLine="442"/>
        <w:rPr>
          <w:b w:val="1"/>
          <w:bCs w:val="1"/>
          <w:sz w:val="22"/>
          <w:szCs w:val="22"/>
        </w:rPr>
      </w:pPr>
      <w:r w:rsidDel="00000000" w:rsidR="00000000" w:rsidRPr="00000000">
        <w:rPr>
          <w:b w:val="1"/>
          <w:bCs w:val="1"/>
          <w:sz w:val="22"/>
          <w:szCs w:val="22"/>
          <w:rtl w:val="0"/>
        </w:rPr>
        <w:t xml:space="preserve">I. Basic Information of the Transaction</w:t>
      </w:r>
    </w:p>
    <w:p w:rsidR="00000000" w:rsidDel="00000000" w:rsidP="00000000" w:rsidRDefault="00000000" w:rsidRPr="00000000" w14:paraId="00000009">
      <w:pPr>
        <w:spacing w:line="276" w:lineRule="auto"/>
        <w:ind w:firstLine="440"/>
        <w:rPr>
          <w:sz w:val="22"/>
          <w:szCs w:val="22"/>
        </w:rPr>
      </w:pPr>
      <w:r w:rsidDel="00000000" w:rsidR="00000000" w:rsidRPr="00000000">
        <w:rPr>
          <w:sz w:val="22"/>
          <w:szCs w:val="22"/>
          <w:rtl w:val="0"/>
        </w:rPr>
        <w:t xml:space="preserve">Ming Yang Smart Energy Group Limited (hereinafter referred to as the "Company") is planning to acquire 100% equity of Uniwatt Technology Co., Ltd. through the issuance of shares and cash payment and to raise supporting funds, which constitutes a related-party transaction (hereinafter referred to as "the Transaction"). According to the Administrative Measures for the Major Asset Restructuring of Listed Companies and other relevant regulations, the Transaction constitutes a related-party transaction but is not expected to constitute a major asset restructuring.</w:t>
      </w:r>
    </w:p>
    <w:p w:rsidR="00000000" w:rsidDel="00000000" w:rsidP="00000000" w:rsidRDefault="00000000" w:rsidRPr="00000000" w14:paraId="0000000A">
      <w:pPr>
        <w:spacing w:line="276" w:lineRule="auto"/>
        <w:ind w:firstLine="442"/>
        <w:rPr>
          <w:b w:val="1"/>
          <w:bCs w:val="1"/>
          <w:sz w:val="22"/>
          <w:szCs w:val="22"/>
        </w:rPr>
      </w:pPr>
      <w:r w:rsidDel="00000000" w:rsidR="00000000" w:rsidRPr="00000000">
        <w:rPr>
          <w:b w:val="1"/>
          <w:bCs w:val="1"/>
          <w:sz w:val="22"/>
          <w:szCs w:val="22"/>
          <w:rtl w:val="0"/>
        </w:rPr>
        <w:t xml:space="preserve">II. Progress of the Transaction</w:t>
      </w:r>
    </w:p>
    <w:p w:rsidR="00000000" w:rsidDel="00000000" w:rsidP="00000000" w:rsidRDefault="00000000" w:rsidRPr="00000000" w14:paraId="0000000B">
      <w:pPr>
        <w:spacing w:line="276" w:lineRule="auto"/>
        <w:ind w:firstLine="495"/>
        <w:rPr>
          <w:sz w:val="22"/>
          <w:szCs w:val="22"/>
        </w:rPr>
      </w:pPr>
      <w:r w:rsidDel="00000000" w:rsidR="00000000" w:rsidRPr="00000000">
        <w:rPr>
          <w:sz w:val="22"/>
          <w:szCs w:val="22"/>
          <w:rtl w:val="0"/>
        </w:rPr>
        <w:t xml:space="preserve">In accordance with the relevant regulations of the Shanghai Stock Exchange, the trading of the Company's A share stock (stock abbreviation: MYSE, stock code: 601615) has been suspended from the opening of the market on January 13, 2026 (Tuesday, Beijing Time). The suspension lasts for no more than 10 trading days. For details, please refer to the Announcement on Trading Suspension in Respect of the Proposed Issuance of Shares and Cash Payment for Asset Acquisition, Raising of Supporting Funds and Related-Party Transactions disclosed by the Company on January 13, 2026.</w:t>
      </w:r>
    </w:p>
    <w:p w:rsidR="00000000" w:rsidDel="00000000" w:rsidP="00000000" w:rsidRDefault="00000000" w:rsidRPr="00000000" w14:paraId="0000000C">
      <w:pPr>
        <w:spacing w:line="276" w:lineRule="auto"/>
        <w:ind w:firstLine="495"/>
        <w:rPr>
          <w:sz w:val="22"/>
          <w:szCs w:val="22"/>
        </w:rPr>
      </w:pPr>
      <w:r w:rsidDel="00000000" w:rsidR="00000000" w:rsidRPr="00000000">
        <w:rPr>
          <w:sz w:val="22"/>
          <w:szCs w:val="22"/>
          <w:rtl w:val="0"/>
        </w:rPr>
        <w:t xml:space="preserve">On January 22, 2026, the Company held the 30th meeting of the third Board, at which the Proposal on the Proposal of Ming Yang Smart Energy Group Limited on Issuance of Shares and Cash Payment for Asset Acquisition, Raising of Supporting Funds and Related-Party Transactions and other proposals related to the Transaction were reviewed and approved. For details, please refer to the Proposal of Ming Yang Smart Energy Group Limited on Issuance of Shares and Cash Payment for Asset Acquisition, Raising of Supporting Funds and Related-Party Transactions and other relevant announcements disclosed by the Company on January 22, 2026.</w:t>
      </w:r>
    </w:p>
    <w:p w:rsidR="00000000" w:rsidDel="00000000" w:rsidP="00000000" w:rsidRDefault="00000000" w:rsidRPr="00000000" w14:paraId="0000000D">
      <w:pPr>
        <w:spacing w:line="276" w:lineRule="auto"/>
        <w:ind w:firstLine="495"/>
        <w:rPr>
          <w:sz w:val="22"/>
          <w:szCs w:val="22"/>
        </w:rPr>
      </w:pPr>
      <w:r w:rsidDel="00000000" w:rsidR="00000000" w:rsidRPr="00000000">
        <w:rPr>
          <w:sz w:val="22"/>
          <w:szCs w:val="22"/>
          <w:rtl w:val="0"/>
        </w:rPr>
        <w:t xml:space="preserve">Upon application to the Shanghai Stock Exchange, the trading of the Company's A share stock (stock abbreviation: MYSE, stock code: 601615) was resumed from the market opening on Friday, January 23, 2026. For details, please refer to the Announcement on General Risk Warning Regarding the Disclosure of the Restructuring Proposal and the Resumption of Trading of the Company's Stock disclosed by the Company on January 22, 2026.</w:t>
      </w:r>
    </w:p>
    <w:p w:rsidR="00000000" w:rsidDel="00000000" w:rsidP="00000000" w:rsidRDefault="00000000" w:rsidRPr="00000000" w14:paraId="0000000E">
      <w:pPr>
        <w:spacing w:line="276" w:lineRule="auto"/>
        <w:ind w:firstLine="495"/>
        <w:rPr>
          <w:sz w:val="22"/>
          <w:szCs w:val="22"/>
        </w:rPr>
      </w:pPr>
      <w:r w:rsidDel="00000000" w:rsidR="00000000" w:rsidRPr="00000000">
        <w:rPr>
          <w:sz w:val="22"/>
          <w:szCs w:val="22"/>
          <w:rtl w:val="0"/>
        </w:rPr>
        <w:t xml:space="preserve">On January 23, 2026, the Company received the Inquiry Letter on the Information Disclosure of the Proposal of Ming Yang Smart Energy Group Limited on Issuance of Shares and Cash Payment for Asset Acquisition (SZGH [2026] No. 0129) (hereinafter referred to as the "Inquiry Letter") from the Listed Company Management Department I of the Shanghai Stock Exchange. In accordance with the Inquiry Letter, the Company has organized relevant parties to conduct careful verification, analysis, and research on the related matters, and has implemented and responded to them item by item. Meanwhile, the Company has revised, supplemented, and disclosed the Proposal on Issuance of Shares and Cash Payment for Asset Acquisition, Raising of Supporting Funds and Related-Party Transactions of Ming Yang Smart Energy Group Limited in accordance with the requirements of the Inquiry Letter and the relevant replies, which are marked in bold italic. For details, please refer to the Announcement on the Reply to the Inquiry Letter from the Shanghai Stock Exchange Regarding the Information Disclosure of the Proposal on Issuance of Shares and Cash Payment for Asset Acquisition and the Proposal of Ming Yang Smart Energy Group Limited on Issuance of Shares and Cash Payment for Asset Acquisition, Raising of Supporting Funds and Related-Party Transactions (Revised Version) disclosed by the Company on February 5, 2026.</w:t>
      </w:r>
    </w:p>
    <w:p w:rsidR="00000000" w:rsidDel="00000000" w:rsidP="00000000" w:rsidRDefault="00000000" w:rsidRPr="00000000" w14:paraId="0000000F">
      <w:pPr>
        <w:spacing w:line="276" w:lineRule="auto"/>
        <w:ind w:firstLine="495"/>
        <w:rPr>
          <w:color w:val="000000"/>
          <w:sz w:val="22"/>
          <w:szCs w:val="22"/>
        </w:rPr>
      </w:pPr>
      <w:r w:rsidDel="00000000" w:rsidR="00000000" w:rsidRPr="00000000">
        <w:rPr>
          <w:color w:val="000000"/>
          <w:sz w:val="22"/>
          <w:szCs w:val="22"/>
          <w:rtl w:val="0"/>
        </w:rPr>
        <w:t xml:space="preserve">Since the disclosure of the proposal for the Transaction, the Company and all relevant parties have been actively advancing the work related to the Transaction. On February 23, March 23, April 22, May 22 and June 22, 2026, the Company disclosed the Announcement on Progress of Matter in Respect of the Issuance of Shares and Cash Payment for Asset Acquisition, Raising of Supporting Funds and Related-Party Transaction.</w:t>
      </w:r>
    </w:p>
    <w:p w:rsidR="00000000" w:rsidDel="00000000" w:rsidP="00000000" w:rsidRDefault="00000000" w:rsidRPr="00000000" w14:paraId="00000010">
      <w:pPr>
        <w:spacing w:line="276" w:lineRule="auto"/>
        <w:ind w:firstLine="495"/>
        <w:rPr>
          <w:sz w:val="22"/>
          <w:szCs w:val="22"/>
        </w:rPr>
      </w:pPr>
      <w:r w:rsidDel="00000000" w:rsidR="00000000" w:rsidRPr="00000000">
        <w:rPr>
          <w:sz w:val="22"/>
          <w:szCs w:val="22"/>
          <w:rtl w:val="0"/>
        </w:rPr>
        <w:t xml:space="preserve">Since it was anticipated that the notice for convening the Shareholders' Meeting could not be issued within six months after the announcement date of the Board's resolution for the initial review of the Transaction, the Company disclosed the Special Explanation on the Progress of the Issuance of Shares and Cash Payment for Asset Acquisition, Raising of Supporting Funds and Related-Party Transactions and the Failure to Issue a Notice Convening a Shareholders' Meeting Within the Prescribed Time Limit on July 22, 2026.</w:t>
      </w:r>
    </w:p>
    <w:p w:rsidR="00000000" w:rsidDel="00000000" w:rsidP="00000000" w:rsidRDefault="00000000" w:rsidRPr="00000000" w14:paraId="00000011">
      <w:pPr>
        <w:spacing w:line="276" w:lineRule="auto"/>
        <w:ind w:firstLine="495"/>
        <w:rPr>
          <w:sz w:val="22"/>
          <w:szCs w:val="22"/>
        </w:rPr>
      </w:pPr>
      <w:r w:rsidDel="00000000" w:rsidR="00000000" w:rsidRPr="00000000">
        <w:rPr>
          <w:sz w:val="22"/>
          <w:szCs w:val="22"/>
          <w:rtl w:val="0"/>
        </w:rPr>
        <w:t xml:space="preserve">As of the disclosure date of this Announcement, the audit, valuation, and legal due diligence of the assets involved in the Transaction are still in progress. The Company will fulfill its information disclosure obligations in strict accordance with the provisions and requirements of relevant laws and regulations based on the progress of the Transaction.</w:t>
      </w:r>
    </w:p>
    <w:p w:rsidR="00000000" w:rsidDel="00000000" w:rsidP="00000000" w:rsidRDefault="00000000" w:rsidRPr="00000000" w14:paraId="00000012">
      <w:pPr>
        <w:spacing w:line="276" w:lineRule="auto"/>
        <w:ind w:firstLine="442"/>
        <w:rPr>
          <w:b w:val="1"/>
          <w:bCs w:val="1"/>
          <w:sz w:val="22"/>
          <w:szCs w:val="22"/>
        </w:rPr>
      </w:pPr>
      <w:r w:rsidDel="00000000" w:rsidR="00000000" w:rsidRPr="00000000">
        <w:rPr>
          <w:b w:val="1"/>
          <w:bCs w:val="1"/>
          <w:color w:val="000000"/>
          <w:sz w:val="22"/>
          <w:szCs w:val="22"/>
          <w:rtl w:val="0"/>
        </w:rPr>
        <w:t xml:space="preserve">III. Risk Warning</w:t>
      </w:r>
      <w:r w:rsidDel="00000000" w:rsidR="00000000" w:rsidRPr="00000000">
        <w:rPr>
          <w:rtl w:val="0"/>
        </w:rPr>
      </w:r>
    </w:p>
    <w:p w:rsidR="00000000" w:rsidDel="00000000" w:rsidP="00000000" w:rsidRDefault="00000000" w:rsidRPr="00000000" w14:paraId="00000013">
      <w:pPr>
        <w:spacing w:line="276" w:lineRule="auto"/>
        <w:ind w:firstLine="495"/>
        <w:rPr>
          <w:sz w:val="22"/>
          <w:szCs w:val="22"/>
        </w:rPr>
      </w:pPr>
      <w:r w:rsidDel="00000000" w:rsidR="00000000" w:rsidRPr="00000000">
        <w:rPr>
          <w:sz w:val="22"/>
          <w:szCs w:val="22"/>
          <w:rtl w:val="0"/>
        </w:rPr>
        <w:t xml:space="preserve">The parties to the Transaction have not yet signed a formal transaction agreement, and the Transaction is still subject to multiple approval procedures before it can be formally implemented, including but not limited to re-submission to the Company's Board and Shareholders' Meeting for deliberation, and being approved, reviewed, or registered by the competent regulatory authorities.</w:t>
      </w:r>
    </w:p>
    <w:p w:rsidR="00000000" w:rsidDel="00000000" w:rsidP="00000000" w:rsidRDefault="00000000" w:rsidRPr="00000000" w14:paraId="00000014">
      <w:pPr>
        <w:spacing w:line="276" w:lineRule="auto"/>
        <w:ind w:firstLine="495"/>
        <w:rPr>
          <w:sz w:val="22"/>
          <w:szCs w:val="22"/>
        </w:rPr>
      </w:pPr>
      <w:r w:rsidDel="00000000" w:rsidR="00000000" w:rsidRPr="00000000">
        <w:rPr>
          <w:sz w:val="22"/>
          <w:szCs w:val="22"/>
          <w:rtl w:val="0"/>
        </w:rPr>
        <w:t xml:space="preserve">There is still uncertainty as to whether the Transaction can be finally implemented. All relevant information shall be subject to the announcements published by the Company on the designated information disclosure media. Investors are kindly reminded to make rational investments and be aware of investment risks.</w:t>
      </w:r>
    </w:p>
    <w:p w:rsidR="00000000" w:rsidDel="00000000" w:rsidP="00000000" w:rsidRDefault="00000000" w:rsidRPr="00000000" w14:paraId="00000015">
      <w:pPr>
        <w:spacing w:line="276" w:lineRule="auto"/>
        <w:ind w:firstLine="495"/>
        <w:rPr>
          <w:sz w:val="22"/>
          <w:szCs w:val="22"/>
        </w:rPr>
      </w:pPr>
      <w:r w:rsidDel="00000000" w:rsidR="00000000" w:rsidRPr="00000000">
        <w:rPr>
          <w:rtl w:val="0"/>
        </w:rPr>
      </w:r>
    </w:p>
    <w:p w:rsidR="00000000" w:rsidDel="00000000" w:rsidP="00000000" w:rsidRDefault="00000000" w:rsidRPr="00000000" w14:paraId="00000016">
      <w:pPr>
        <w:widowControl w:val="1"/>
        <w:spacing w:line="276" w:lineRule="auto"/>
        <w:ind w:firstLine="440"/>
        <w:rPr>
          <w:color w:val="000000"/>
          <w:sz w:val="22"/>
          <w:szCs w:val="22"/>
        </w:rPr>
      </w:pPr>
      <w:r w:rsidDel="00000000" w:rsidR="00000000" w:rsidRPr="00000000">
        <w:rPr>
          <w:rtl w:val="0"/>
        </w:rPr>
      </w:r>
    </w:p>
    <w:p w:rsidR="00000000" w:rsidDel="00000000" w:rsidP="00000000" w:rsidRDefault="00000000" w:rsidRPr="00000000" w14:paraId="00000017">
      <w:pPr>
        <w:widowControl w:val="1"/>
        <w:spacing w:line="276" w:lineRule="auto"/>
        <w:ind w:firstLine="440"/>
        <w:rPr>
          <w:color w:val="000000"/>
          <w:sz w:val="22"/>
          <w:szCs w:val="22"/>
        </w:rPr>
      </w:pPr>
      <w:r w:rsidDel="00000000" w:rsidR="00000000" w:rsidRPr="00000000">
        <w:rPr>
          <w:rtl w:val="0"/>
        </w:rPr>
      </w:r>
    </w:p>
    <w:p w:rsidR="00000000" w:rsidDel="00000000" w:rsidP="00000000" w:rsidRDefault="00000000" w:rsidRPr="00000000" w14:paraId="00000018">
      <w:pPr>
        <w:widowControl w:val="1"/>
        <w:spacing w:line="276" w:lineRule="auto"/>
        <w:ind w:firstLine="600"/>
        <w:jc w:val="right"/>
        <w:rPr>
          <w:sz w:val="22"/>
          <w:szCs w:val="22"/>
        </w:rPr>
      </w:pPr>
      <w:r w:rsidDel="00000000" w:rsidR="00000000" w:rsidRPr="00000000">
        <w:rPr>
          <w:rtl w:val="0"/>
        </w:rPr>
      </w:r>
    </w:p>
    <w:p w:rsidR="00000000" w:rsidDel="00000000" w:rsidP="00000000" w:rsidRDefault="00000000" w:rsidRPr="00000000" w14:paraId="00000019">
      <w:pPr>
        <w:widowControl w:val="1"/>
        <w:spacing w:line="276" w:lineRule="auto"/>
        <w:ind w:firstLine="601"/>
        <w:jc w:val="right"/>
        <w:rPr>
          <w:sz w:val="22"/>
          <w:szCs w:val="22"/>
        </w:rPr>
      </w:pPr>
      <w:r w:rsidDel="00000000" w:rsidR="00000000" w:rsidRPr="00000000">
        <w:rPr>
          <w:color w:val="000000"/>
          <w:sz w:val="22"/>
          <w:szCs w:val="22"/>
          <w:rtl w:val="0"/>
        </w:rPr>
        <w:t xml:space="preserve">Ming Yang Smart Energy Group Limited</w:t>
      </w:r>
      <w:r w:rsidDel="00000000" w:rsidR="00000000" w:rsidRPr="00000000">
        <w:rPr>
          <w:rtl w:val="0"/>
        </w:rPr>
      </w:r>
    </w:p>
    <w:p w:rsidR="00000000" w:rsidDel="00000000" w:rsidP="00000000" w:rsidRDefault="00000000" w:rsidRPr="00000000" w14:paraId="0000001A">
      <w:pPr>
        <w:widowControl w:val="1"/>
        <w:spacing w:line="276" w:lineRule="auto"/>
        <w:ind w:right="240" w:firstLine="600"/>
        <w:jc w:val="right"/>
        <w:rPr>
          <w:sz w:val="22"/>
          <w:szCs w:val="22"/>
        </w:rPr>
      </w:pPr>
      <w:r w:rsidDel="00000000" w:rsidR="00000000" w:rsidRPr="00000000">
        <w:rPr>
          <w:color w:val="000000"/>
          <w:sz w:val="22"/>
          <w:szCs w:val="22"/>
          <w:rtl w:val="0"/>
        </w:rPr>
        <w:t xml:space="preserve">August 21, 2026</w:t>
      </w:r>
      <w:r w:rsidDel="00000000" w:rsidR="00000000" w:rsidRPr="00000000">
        <w:rPr>
          <w:rtl w:val="0"/>
        </w:rPr>
      </w:r>
    </w:p>
    <w:sectPr>
      <w:footerReference r:id="rId7" w:type="default"/>
      <w:pgSz w:h="16838" w:w="11906" w:orient="portrait"/>
      <w:pgMar w:bottom="1134" w:top="1134" w:left="1134"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1"/>
        <w:szCs w:val="21"/>
        <w:lang w:val="en_GB"/>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header"/>
    <w:basedOn w:val="a"/>
    <w:link w:val="a4"/>
    <w:uiPriority w:val="99"/>
    <w:unhideWhenUsed w:val="1"/>
    <w:rsid w:val="0042299B"/>
    <w:pPr>
      <w:pBdr>
        <w:bottom w:color="auto" w:space="1" w:sz="6" w:val="single"/>
      </w:pBdr>
      <w:tabs>
        <w:tab w:val="center" w:pos="4153"/>
        <w:tab w:val="right" w:pos="8306"/>
      </w:tabs>
      <w:snapToGrid w:val="0"/>
      <w:jc w:val="center"/>
    </w:pPr>
    <w:rPr>
      <w:rFonts w:asciiTheme="minorHAnsi" w:cstheme="minorBidi" w:eastAsiaTheme="minorEastAsia" w:hAnsiTheme="minorHAnsi"/>
      <w:sz w:val="18"/>
      <w:szCs w:val="18"/>
    </w:rPr>
  </w:style>
  <w:style w:type="character" w:styleId="a4" w:customStyle="1">
    <w:name w:val="页眉 字符"/>
    <w:basedOn w:val="a0"/>
    <w:link w:val="a3"/>
    <w:uiPriority w:val="99"/>
    <w:rsid w:val="0042299B"/>
    <w:rPr>
      <w:sz w:val="18"/>
      <w:szCs w:val="18"/>
    </w:rPr>
  </w:style>
  <w:style w:type="paragraph" w:styleId="a5">
    <w:name w:val="footer"/>
    <w:basedOn w:val="a"/>
    <w:link w:val="a6"/>
    <w:uiPriority w:val="99"/>
    <w:unhideWhenUsed w:val="1"/>
    <w:rsid w:val="0042299B"/>
    <w:pPr>
      <w:tabs>
        <w:tab w:val="center" w:pos="4153"/>
        <w:tab w:val="right" w:pos="8306"/>
      </w:tabs>
      <w:snapToGrid w:val="0"/>
      <w:jc w:val="left"/>
    </w:pPr>
    <w:rPr>
      <w:rFonts w:asciiTheme="minorHAnsi" w:cstheme="minorBidi" w:eastAsiaTheme="minorEastAsia" w:hAnsiTheme="minorHAnsi"/>
      <w:sz w:val="18"/>
      <w:szCs w:val="18"/>
    </w:rPr>
  </w:style>
  <w:style w:type="character" w:styleId="a6" w:customStyle="1">
    <w:name w:val="页脚 字符"/>
    <w:basedOn w:val="a0"/>
    <w:link w:val="a5"/>
    <w:uiPriority w:val="99"/>
    <w:rsid w:val="0042299B"/>
    <w:rPr>
      <w:sz w:val="18"/>
      <w:szCs w:val="18"/>
    </w:rPr>
  </w:style>
  <w:style w:type="table" w:styleId="a7">
    <w:name w:val="Table Grid"/>
    <w:basedOn w:val="a1"/>
    <w:rsid w:val="0042299B"/>
    <w:pPr>
      <w:widowControl w:val="0"/>
      <w:jc w:val="both"/>
    </w:pPr>
    <w:rPr>
      <w:rFonts w:ascii="Times New Roman" w:cs="Times New Roman" w:eastAsia="宋体" w:hAnsi="Times New Roman"/>
      <w:kern w:val="0"/>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8">
    <w:name w:val="List Paragraph"/>
    <w:basedOn w:val="a"/>
    <w:uiPriority w:val="34"/>
    <w:qFormat w:val="1"/>
    <w:rsid w:val="00BA65D0"/>
    <w:pPr>
      <w:ind w:firstLine="420" w:firstLineChars="200"/>
    </w:pPr>
  </w:style>
  <w:style w:type="paragraph" w:styleId="a9">
    <w:name w:val="Revision"/>
    <w:hidden w:val="1"/>
    <w:uiPriority w:val="99"/>
    <w:semiHidden w:val="1"/>
    <w:rsid w:val="009864D3"/>
    <w:rPr>
      <w:rFonts w:ascii="Times New Roman" w:cs="Times New Roman" w:eastAsia="宋体" w:hAnsi="Times New Roman"/>
      <w:szCs w:val="24"/>
    </w:rPr>
  </w:style>
  <w:style w:type="character" w:styleId="aa">
    <w:name w:val="annotation reference"/>
    <w:basedOn w:val="a0"/>
    <w:uiPriority w:val="99"/>
    <w:semiHidden w:val="1"/>
    <w:unhideWhenUsed w:val="1"/>
    <w:rsid w:val="002A2EBD"/>
    <w:rPr>
      <w:sz w:val="21"/>
      <w:szCs w:val="21"/>
    </w:rPr>
  </w:style>
  <w:style w:type="paragraph" w:styleId="ab">
    <w:name w:val="annotation text"/>
    <w:basedOn w:val="a"/>
    <w:link w:val="ac"/>
    <w:uiPriority w:val="99"/>
    <w:semiHidden w:val="1"/>
    <w:unhideWhenUsed w:val="1"/>
    <w:rsid w:val="002A2EBD"/>
    <w:pPr>
      <w:jc w:val="left"/>
    </w:pPr>
  </w:style>
  <w:style w:type="character" w:styleId="ac" w:customStyle="1">
    <w:name w:val="批注文字 字符"/>
    <w:basedOn w:val="a0"/>
    <w:link w:val="ab"/>
    <w:uiPriority w:val="99"/>
    <w:semiHidden w:val="1"/>
    <w:rsid w:val="002A2EBD"/>
    <w:rPr>
      <w:rFonts w:ascii="Times New Roman" w:cs="Times New Roman" w:eastAsia="宋体" w:hAnsi="Times New Roman"/>
      <w:szCs w:val="24"/>
    </w:rPr>
  </w:style>
  <w:style w:type="paragraph" w:styleId="ad">
    <w:name w:val="annotation subject"/>
    <w:basedOn w:val="ab"/>
    <w:next w:val="ab"/>
    <w:link w:val="ae"/>
    <w:uiPriority w:val="99"/>
    <w:semiHidden w:val="1"/>
    <w:unhideWhenUsed w:val="1"/>
    <w:rsid w:val="002A2EBD"/>
    <w:rPr>
      <w:b w:val="1"/>
      <w:bCs w:val="1"/>
    </w:rPr>
  </w:style>
  <w:style w:type="character" w:styleId="ae" w:customStyle="1">
    <w:name w:val="批注主题 字符"/>
    <w:basedOn w:val="ac"/>
    <w:link w:val="ad"/>
    <w:uiPriority w:val="99"/>
    <w:semiHidden w:val="1"/>
    <w:rsid w:val="002A2EBD"/>
    <w:rPr>
      <w:rFonts w:ascii="Times New Roman" w:cs="Times New Roman" w:eastAsia="宋体" w:hAnsi="Times New Roman"/>
      <w:b w:val="1"/>
      <w:bCs w:val="1"/>
      <w:szCs w:val="24"/>
    </w:rPr>
  </w:style>
  <w:style w:type="paragraph" w:styleId="ZBodytext" w:customStyle="1">
    <w:name w:val="Z Body text"/>
    <w:basedOn w:val="a"/>
    <w:uiPriority w:val="1"/>
    <w:rsid w:val="00E87505"/>
    <w:pPr>
      <w:tabs>
        <w:tab w:val="left" w:pos="989"/>
      </w:tabs>
      <w:autoSpaceDE w:val="0"/>
      <w:autoSpaceDN w:val="0"/>
      <w:spacing w:after="100" w:before="100" w:line="288" w:lineRule="auto"/>
      <w:ind w:left="720" w:right="720"/>
    </w:pPr>
    <w:rPr>
      <w:rFonts w:eastAsia="Times New Roman"/>
      <w:kern w:val="0"/>
      <w:sz w:val="20"/>
      <w:szCs w:val="22"/>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qb/Ix0ll8danUb8M7sw4DXDFVA==">CgMxLjA4AHIhMWZ0TWlEUTluZEtlSWQtYmVNdFNMWWFuWjlPbkdibkJG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2025-12-11T06:45:00Z</dcterms:created>
  <dc:creator>郑洁珊</dc:creator>
</cp:coreProperties>
</file>